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优秀大学生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赴早稻田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大学短期研学交流方案</w:t>
      </w:r>
    </w:p>
    <w:bookmarkEnd w:id="0"/>
    <w:p>
      <w:pPr>
        <w:spacing w:line="360" w:lineRule="auto"/>
        <w:jc w:val="both"/>
        <w:rPr>
          <w:rFonts w:ascii="宋体" w:hAnsi="宋体" w:eastAsia="宋体"/>
          <w:b/>
          <w:sz w:val="32"/>
        </w:rPr>
      </w:pP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早稻田大学（Waseda University），简称早大，是日本极负盛名的世界顶尖学府。1882年由日本首相大隈重信创立，是日本历史最悠久的综合学术机构之一。如今作为亚洲最著名的殿堂级私立学府，早大兼容并包，在日本社会发展中发挥着举足轻重的领导先驱作用。早大毕业生人才辈出，世界影响力极强，是二战后日本最多首相毕业的大学，被称为“政治家的摇篮”，校友涵盖11任日本首相，国会三分之一以上议员；早大亦被称为“商业领袖的摇篮”，索尼、丰田、三星、优衣库等众多著名公司创始人或总裁均出身早大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教育基金会联盟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将组织安徽省内各高校优秀大学生，利用寒假前往日本早稻田大学，以课堂教育与实地考察实践相结合的方式，完成7天的研学交流，具体方案如下。</w:t>
      </w:r>
    </w:p>
    <w:p>
      <w:pPr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一、研学预备(1月)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缴费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人员确定后，基金会将联合项目组通过线上、线下结合形式，利用学生课余时间开展研学预备工作。具体内容如下：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(一)团队建设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基金会将根据学生报名人数，进行分班分组；组建研学课程带队团队，包括带队教师、班级班干等；对班级研学期间的安全管理、学习效果制定班委工作方案；开展团队破冰活动，培养研学生的自主管理意识、实践能力、团队协作能力和创新思维能力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(二)行前培训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通过教师辅导加研学生自学，研学生通过线上、线下相结合的形式开展行前培训，培训内容包括：学习学术英语辅导、研学课程的课前资料阅读指导、日本人文及传统情况介绍、大学学科介绍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海外本硕升学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(三)研学管理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由基金会联合项目组对研学生进行外事纪律、安全须知、商务礼仪、国际旅行常识的培训，保证研学安全。</w:t>
      </w:r>
    </w:p>
    <w:p>
      <w:pPr>
        <w:numPr>
          <w:ilvl w:val="0"/>
          <w:numId w:val="1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研学活动(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日-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日)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日程安排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研学活动由课堂教学研讨与社会实践相结合，内容丰富，形式生动，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参考日程如下：</w:t>
      </w:r>
    </w:p>
    <w:tbl>
      <w:tblPr>
        <w:tblStyle w:val="10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szCs w:val="21"/>
              </w:rPr>
              <w:t>时间段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404040"/>
                <w:szCs w:val="21"/>
              </w:rPr>
              <w:t>上午</w:t>
            </w:r>
          </w:p>
        </w:tc>
        <w:tc>
          <w:tcPr>
            <w:tcW w:w="4346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404040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color w:val="000000"/>
              </w:rPr>
              <w:t>DAY1</w:t>
            </w:r>
          </w:p>
        </w:tc>
        <w:tc>
          <w:tcPr>
            <w:tcW w:w="7922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抵达日本，办理酒店入住，小组破冰活动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color w:val="000000"/>
              </w:rPr>
              <w:t>DAY2</w:t>
            </w:r>
          </w:p>
        </w:tc>
        <w:tc>
          <w:tcPr>
            <w:tcW w:w="357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早稻田大学欢迎礼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官方专业课程：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早稻田大学：日本文化与社会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校园参访调研：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参观了解早稻田大学校园概况及历史，与在读学子交流互动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color w:val="000000"/>
              </w:rPr>
              <w:t>DAY3</w:t>
            </w:r>
          </w:p>
        </w:tc>
        <w:tc>
          <w:tcPr>
            <w:tcW w:w="357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官方专业课程：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早稻田大学：日本语教育理论与实践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企业及机构参访、文化体验：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新宿都厅及展望台，或NTT InterCommunication Center，NTT媒体艺术画廊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color w:val="auto"/>
              </w:rPr>
              <w:t>DAY4</w:t>
            </w:r>
          </w:p>
        </w:tc>
        <w:tc>
          <w:tcPr>
            <w:tcW w:w="357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官方专业课程：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早稻田大学：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早稻田大学高等教育文化与创新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日本文化体验：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浅草寺日本传统文化考察、隅田川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color w:val="000000"/>
              </w:rPr>
              <w:t>DAY5</w:t>
            </w:r>
          </w:p>
        </w:tc>
        <w:tc>
          <w:tcPr>
            <w:tcW w:w="357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小组调研汇报与结业展示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项目结业仪式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东京大学参访调研：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参观了解东京大学校园概况及历史，与在读学子交流互动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color w:val="000000"/>
              </w:rPr>
              <w:t>DAY6</w:t>
            </w:r>
          </w:p>
        </w:tc>
        <w:tc>
          <w:tcPr>
            <w:tcW w:w="357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企业及机构参访：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东京大学综合研究博物馆-INTERMEDIATHEQUE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日本文化体验：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秋叶原动漫街【寻找二次元AI世界】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color w:val="000000"/>
              </w:rPr>
              <w:t>DAY7</w:t>
            </w:r>
          </w:p>
        </w:tc>
        <w:tc>
          <w:tcPr>
            <w:tcW w:w="792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项目结束、返程</w:t>
            </w:r>
          </w:p>
        </w:tc>
      </w:tr>
    </w:tbl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研学成果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每个小组需要确定一个研究小课题，并通过学习调研形成研究报告，交流分享，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并评选出优秀学员，由日本早稻田大学教授提供推荐信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研学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评价(3月)</w:t>
      </w:r>
    </w:p>
    <w:p>
      <w:pPr>
        <w:numPr>
          <w:ilvl w:val="-1"/>
          <w:numId w:val="0"/>
        </w:num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省教育发展基金会</w:t>
      </w:r>
      <w:r>
        <w:rPr>
          <w:rFonts w:hint="eastAsia" w:ascii="仿宋" w:hAnsi="仿宋" w:eastAsia="仿宋" w:cs="仿宋"/>
          <w:sz w:val="32"/>
          <w:szCs w:val="32"/>
        </w:rPr>
        <w:t>将组织研学生代表座谈会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或通过线上问卷形式</w:t>
      </w:r>
      <w:r>
        <w:rPr>
          <w:rFonts w:hint="eastAsia" w:ascii="仿宋" w:hAnsi="仿宋" w:eastAsia="仿宋" w:cs="仿宋"/>
          <w:sz w:val="32"/>
          <w:szCs w:val="32"/>
        </w:rPr>
        <w:t>，对研学活动进行评价反馈。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D0C33-5DD6-4A35-8114-DF0C0F5178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76383"/>
    <w:multiLevelType w:val="singleLevel"/>
    <w:tmpl w:val="67E763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WRkNDkxNGFjMTE3Yjc5ZDI5MDBjZmJkMDcyOWIifQ=="/>
    <w:docVar w:name="KSO_WPS_MARK_KEY" w:val="6e9e85dc-329b-43f3-8410-68b5a8331d00"/>
  </w:docVars>
  <w:rsids>
    <w:rsidRoot w:val="00000000"/>
    <w:rsid w:val="030E61E6"/>
    <w:rsid w:val="031A67DB"/>
    <w:rsid w:val="03830824"/>
    <w:rsid w:val="03AC2D81"/>
    <w:rsid w:val="04C44C50"/>
    <w:rsid w:val="04C738AC"/>
    <w:rsid w:val="05504736"/>
    <w:rsid w:val="05C0366A"/>
    <w:rsid w:val="05EA06E6"/>
    <w:rsid w:val="06225714"/>
    <w:rsid w:val="071B5CAF"/>
    <w:rsid w:val="09DF68E3"/>
    <w:rsid w:val="0C1E733C"/>
    <w:rsid w:val="0E213621"/>
    <w:rsid w:val="0FB42FD5"/>
    <w:rsid w:val="1111746F"/>
    <w:rsid w:val="11DD37F5"/>
    <w:rsid w:val="125E66E4"/>
    <w:rsid w:val="135671E4"/>
    <w:rsid w:val="146129FA"/>
    <w:rsid w:val="157224A6"/>
    <w:rsid w:val="1625104D"/>
    <w:rsid w:val="196D31AF"/>
    <w:rsid w:val="1A1A3838"/>
    <w:rsid w:val="1B5D1398"/>
    <w:rsid w:val="1D8A6E3D"/>
    <w:rsid w:val="1DA653E3"/>
    <w:rsid w:val="1E482D48"/>
    <w:rsid w:val="204213F3"/>
    <w:rsid w:val="20B42453"/>
    <w:rsid w:val="20D12777"/>
    <w:rsid w:val="22233BD4"/>
    <w:rsid w:val="224D7025"/>
    <w:rsid w:val="22E04EF3"/>
    <w:rsid w:val="23056708"/>
    <w:rsid w:val="24B623B0"/>
    <w:rsid w:val="26597496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3D08531B"/>
    <w:rsid w:val="3E76796C"/>
    <w:rsid w:val="4013200C"/>
    <w:rsid w:val="40A84E4B"/>
    <w:rsid w:val="40E63BC5"/>
    <w:rsid w:val="41870FB2"/>
    <w:rsid w:val="421B33FA"/>
    <w:rsid w:val="442A5B77"/>
    <w:rsid w:val="44C164DB"/>
    <w:rsid w:val="4A6D01EC"/>
    <w:rsid w:val="4BA821A3"/>
    <w:rsid w:val="4F3C32D5"/>
    <w:rsid w:val="50C903F5"/>
    <w:rsid w:val="52E8557B"/>
    <w:rsid w:val="53D176CA"/>
    <w:rsid w:val="545E3D46"/>
    <w:rsid w:val="5647080A"/>
    <w:rsid w:val="56A96DCF"/>
    <w:rsid w:val="571B7CCD"/>
    <w:rsid w:val="584F0A82"/>
    <w:rsid w:val="58D345D7"/>
    <w:rsid w:val="5A1B162D"/>
    <w:rsid w:val="5CDA5388"/>
    <w:rsid w:val="5D347436"/>
    <w:rsid w:val="5FCD3483"/>
    <w:rsid w:val="60116B90"/>
    <w:rsid w:val="61EA6C19"/>
    <w:rsid w:val="62767B2A"/>
    <w:rsid w:val="634D6CDE"/>
    <w:rsid w:val="635A392B"/>
    <w:rsid w:val="67065B78"/>
    <w:rsid w:val="6AAD5E11"/>
    <w:rsid w:val="6B0C45F6"/>
    <w:rsid w:val="6B2444E3"/>
    <w:rsid w:val="6BAC37B5"/>
    <w:rsid w:val="6E0077C5"/>
    <w:rsid w:val="6E405E13"/>
    <w:rsid w:val="6E423939"/>
    <w:rsid w:val="706828A3"/>
    <w:rsid w:val="713E7914"/>
    <w:rsid w:val="737A1DC7"/>
    <w:rsid w:val="778E2CD2"/>
    <w:rsid w:val="784A620C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basedOn w:val="1"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List Table 7 Colorful Accent 5"/>
    <w:basedOn w:val="5"/>
    <w:qFormat/>
    <w:uiPriority w:val="52"/>
    <w:rPr>
      <w:rFonts w:eastAsia="宋体"/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1226</Characters>
  <Paragraphs>289</Paragraphs>
  <TotalTime>8</TotalTime>
  <ScaleCrop>false</ScaleCrop>
  <LinksUpToDate>false</LinksUpToDate>
  <CharactersWithSpaces>1236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QQ奥特曼</cp:lastModifiedBy>
  <cp:lastPrinted>2024-04-01T08:32:00Z</cp:lastPrinted>
  <dcterms:modified xsi:type="dcterms:W3CDTF">2024-12-09T07:46:52Z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BB211A2D425F4989ACAB67212F8CA0EB</vt:lpwstr>
  </property>
</Properties>
</file>